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4E1885" w:rsidRPr="004E1885" w:rsidTr="004E1885">
        <w:trPr>
          <w:tblCellSpacing w:w="0" w:type="dxa"/>
        </w:trPr>
        <w:tc>
          <w:tcPr>
            <w:tcW w:w="10500" w:type="dxa"/>
            <w:vAlign w:val="center"/>
            <w:hideMark/>
          </w:tcPr>
          <w:p w:rsidR="004E1885" w:rsidRPr="004E1885" w:rsidRDefault="004E1885" w:rsidP="004E1885">
            <w:pPr>
              <w:spacing w:before="225" w:after="15" w:line="240" w:lineRule="auto"/>
              <w:ind w:left="1050" w:right="2250"/>
              <w:jc w:val="both"/>
              <w:rPr>
                <w:rFonts w:ascii="Arial" w:eastAsia="Times New Roman" w:hAnsi="Arial" w:cs="Arial"/>
                <w:sz w:val="20"/>
                <w:szCs w:val="20"/>
              </w:rPr>
            </w:pPr>
            <w:r w:rsidRPr="004E1885">
              <w:rPr>
                <w:rFonts w:ascii="Arial" w:eastAsia="Times New Roman" w:hAnsi="Arial" w:cs="Arial"/>
                <w:sz w:val="20"/>
                <w:szCs w:val="20"/>
              </w:rPr>
              <w:t>Na temelju članka 100. Zakona o prostornom uređenju i gradnji (Narodne novine broj 67/07) te članka 9. Statuta Općine Brckovljani (Službeni glasnik Općine Brckovljani 05/01 i 10/06) Općinsko vijeće Općine Brckovljani na 31. sjednici održanoj 07.04.2009. godine, donijelo je</w:t>
            </w:r>
          </w:p>
        </w:tc>
        <w:tc>
          <w:tcPr>
            <w:tcW w:w="1100" w:type="pct"/>
            <w:vAlign w:val="center"/>
            <w:hideMark/>
          </w:tcPr>
          <w:p w:rsidR="004E1885" w:rsidRPr="004E1885" w:rsidRDefault="004E1885" w:rsidP="004E1885">
            <w:pPr>
              <w:spacing w:after="0" w:line="240" w:lineRule="auto"/>
              <w:rPr>
                <w:rFonts w:ascii="Times New Roman" w:eastAsia="Times New Roman" w:hAnsi="Times New Roman" w:cs="Times New Roman"/>
                <w:sz w:val="24"/>
                <w:szCs w:val="24"/>
              </w:rPr>
            </w:pPr>
          </w:p>
        </w:tc>
      </w:tr>
    </w:tbl>
    <w:p w:rsidR="004E1885" w:rsidRPr="004E1885" w:rsidRDefault="004E1885" w:rsidP="004E1885">
      <w:pPr>
        <w:spacing w:before="360" w:after="240" w:line="240" w:lineRule="atLeast"/>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ODLUKU</w:t>
      </w:r>
      <w:r w:rsidRPr="004E1885">
        <w:rPr>
          <w:rFonts w:ascii="Arial" w:eastAsia="Times New Roman" w:hAnsi="Arial" w:cs="Arial"/>
          <w:b/>
          <w:bCs/>
          <w:color w:val="000000"/>
          <w:sz w:val="24"/>
          <w:szCs w:val="24"/>
        </w:rPr>
        <w:br/>
        <w:t>o donošenju</w:t>
      </w:r>
      <w:r w:rsidRPr="004E1885">
        <w:rPr>
          <w:rFonts w:ascii="Arial" w:eastAsia="Times New Roman" w:hAnsi="Arial" w:cs="Arial"/>
          <w:b/>
          <w:bCs/>
          <w:color w:val="000000"/>
          <w:sz w:val="24"/>
          <w:szCs w:val="24"/>
        </w:rPr>
        <w:br/>
        <w:t>Detaljnog plana uređenja groblja Lupoglav</w:t>
      </w:r>
    </w:p>
    <w:p w:rsidR="004E1885" w:rsidRPr="004E1885" w:rsidRDefault="004E1885" w:rsidP="004E1885">
      <w:pPr>
        <w:spacing w:before="360" w:after="240" w:line="240" w:lineRule="atLeast"/>
        <w:ind w:left="1050" w:right="1050"/>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I. TEMELJNE ODREDBE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Ovom Odlukom donosi se Detaljni plan uređenja groblja Lupoglav koji je izradio ARHEO d.o.o. iz Zagreba.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Sastavni dio ove Odluke je elaborat pod naslovom Detaljni plan uređenja groblja Lupoglav (u jednoj knjizi) a sastoji se od:</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 </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A Opći dio</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B Obvezni prilozi</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C Detaljni plan uređenja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 </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I. Tekstualni dio (Odredbe za provođenje) sa slijedećim sadržajem:</w:t>
      </w:r>
    </w:p>
    <w:tbl>
      <w:tblPr>
        <w:tblW w:w="0" w:type="auto"/>
        <w:tblInd w:w="40" w:type="dxa"/>
        <w:tblCellMar>
          <w:left w:w="0" w:type="dxa"/>
          <w:right w:w="0" w:type="dxa"/>
        </w:tblCellMar>
        <w:tblLook w:val="04A0"/>
      </w:tblPr>
      <w:tblGrid>
        <w:gridCol w:w="250"/>
        <w:gridCol w:w="8255"/>
      </w:tblGrid>
      <w:tr w:rsidR="004E1885" w:rsidRPr="004E1885" w:rsidTr="004E1885">
        <w:trPr>
          <w:trHeight w:val="206"/>
        </w:trPr>
        <w:tc>
          <w:tcPr>
            <w:tcW w:w="250"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1.</w:t>
            </w:r>
          </w:p>
        </w:tc>
        <w:tc>
          <w:tcPr>
            <w:tcW w:w="8255"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Uvjeti uređivanja i namjene površina</w:t>
            </w:r>
          </w:p>
        </w:tc>
      </w:tr>
      <w:tr w:rsidR="004E1885" w:rsidRPr="004E1885" w:rsidTr="004E1885">
        <w:trPr>
          <w:trHeight w:val="206"/>
        </w:trPr>
        <w:tc>
          <w:tcPr>
            <w:tcW w:w="250"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2.</w:t>
            </w:r>
          </w:p>
        </w:tc>
        <w:tc>
          <w:tcPr>
            <w:tcW w:w="8255"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Detaljni uvjeti korištenja, uređenja i gradnje građevinskih čestica i građevina</w:t>
            </w:r>
          </w:p>
        </w:tc>
      </w:tr>
      <w:tr w:rsidR="004E1885" w:rsidRPr="004E1885" w:rsidTr="004E1885">
        <w:trPr>
          <w:trHeight w:val="182"/>
        </w:trPr>
        <w:tc>
          <w:tcPr>
            <w:tcW w:w="250" w:type="dxa"/>
            <w:tcMar>
              <w:top w:w="0" w:type="dxa"/>
              <w:left w:w="40" w:type="dxa"/>
              <w:bottom w:w="0" w:type="dxa"/>
              <w:right w:w="40" w:type="dxa"/>
            </w:tcMar>
            <w:hideMark/>
          </w:tcPr>
          <w:p w:rsidR="004E1885" w:rsidRPr="004E1885" w:rsidRDefault="004E1885" w:rsidP="004E1885">
            <w:pPr>
              <w:spacing w:after="0" w:line="182" w:lineRule="atLeast"/>
              <w:rPr>
                <w:rFonts w:ascii="Times New Roman" w:eastAsia="Times New Roman" w:hAnsi="Times New Roman" w:cs="Times New Roman"/>
                <w:sz w:val="24"/>
                <w:szCs w:val="24"/>
              </w:rPr>
            </w:pPr>
            <w:r w:rsidRPr="004E1885">
              <w:rPr>
                <w:rFonts w:ascii="Arial" w:eastAsia="Times New Roman" w:hAnsi="Arial" w:cs="Arial"/>
                <w:sz w:val="20"/>
                <w:szCs w:val="20"/>
              </w:rPr>
              <w:t>3.</w:t>
            </w:r>
          </w:p>
        </w:tc>
        <w:tc>
          <w:tcPr>
            <w:tcW w:w="8255" w:type="dxa"/>
            <w:tcMar>
              <w:top w:w="0" w:type="dxa"/>
              <w:left w:w="40" w:type="dxa"/>
              <w:bottom w:w="0" w:type="dxa"/>
              <w:right w:w="40" w:type="dxa"/>
            </w:tcMar>
            <w:hideMark/>
          </w:tcPr>
          <w:p w:rsidR="004E1885" w:rsidRPr="004E1885" w:rsidRDefault="004E1885" w:rsidP="004E1885">
            <w:pPr>
              <w:spacing w:after="0" w:line="182" w:lineRule="atLeast"/>
              <w:rPr>
                <w:rFonts w:ascii="Times New Roman" w:eastAsia="Times New Roman" w:hAnsi="Times New Roman" w:cs="Times New Roman"/>
                <w:sz w:val="24"/>
                <w:szCs w:val="24"/>
              </w:rPr>
            </w:pPr>
            <w:r w:rsidRPr="004E1885">
              <w:rPr>
                <w:rFonts w:ascii="Arial" w:eastAsia="Times New Roman" w:hAnsi="Arial" w:cs="Arial"/>
                <w:sz w:val="20"/>
                <w:szCs w:val="20"/>
              </w:rPr>
              <w:t>Način opremanja zemljišta prometnom, uličnom, komunalnom i</w:t>
            </w:r>
            <w:r w:rsidRPr="004E1885">
              <w:rPr>
                <w:rFonts w:ascii="Arial" w:eastAsia="Times New Roman" w:hAnsi="Arial" w:cs="Arial"/>
                <w:sz w:val="20"/>
              </w:rPr>
              <w:t> </w:t>
            </w:r>
            <w:r w:rsidRPr="004E1885">
              <w:rPr>
                <w:rFonts w:ascii="Arial" w:eastAsia="Times New Roman" w:hAnsi="Arial" w:cs="Arial"/>
                <w:sz w:val="20"/>
                <w:szCs w:val="20"/>
              </w:rPr>
              <w:t>telekomunikacijskom infrastrukturnom mrežom</w:t>
            </w:r>
          </w:p>
        </w:tc>
      </w:tr>
      <w:tr w:rsidR="004E1885" w:rsidRPr="004E1885" w:rsidTr="004E1885">
        <w:trPr>
          <w:trHeight w:val="182"/>
        </w:trPr>
        <w:tc>
          <w:tcPr>
            <w:tcW w:w="250" w:type="dxa"/>
            <w:tcMar>
              <w:top w:w="0" w:type="dxa"/>
              <w:left w:w="40" w:type="dxa"/>
              <w:bottom w:w="0" w:type="dxa"/>
              <w:right w:w="40" w:type="dxa"/>
            </w:tcMar>
            <w:hideMark/>
          </w:tcPr>
          <w:p w:rsidR="004E1885" w:rsidRPr="004E1885" w:rsidRDefault="004E1885" w:rsidP="004E1885">
            <w:pPr>
              <w:spacing w:after="0" w:line="182" w:lineRule="atLeast"/>
              <w:rPr>
                <w:rFonts w:ascii="Times New Roman" w:eastAsia="Times New Roman" w:hAnsi="Times New Roman" w:cs="Times New Roman"/>
                <w:sz w:val="24"/>
                <w:szCs w:val="24"/>
              </w:rPr>
            </w:pPr>
            <w:r w:rsidRPr="004E1885">
              <w:rPr>
                <w:rFonts w:ascii="Arial" w:eastAsia="Times New Roman" w:hAnsi="Arial" w:cs="Arial"/>
                <w:sz w:val="20"/>
                <w:szCs w:val="20"/>
              </w:rPr>
              <w:t>4.</w:t>
            </w:r>
          </w:p>
        </w:tc>
        <w:tc>
          <w:tcPr>
            <w:tcW w:w="8255" w:type="dxa"/>
            <w:tcMar>
              <w:top w:w="0" w:type="dxa"/>
              <w:left w:w="40" w:type="dxa"/>
              <w:bottom w:w="0" w:type="dxa"/>
              <w:right w:w="40" w:type="dxa"/>
            </w:tcMar>
            <w:hideMark/>
          </w:tcPr>
          <w:p w:rsidR="004E1885" w:rsidRPr="004E1885" w:rsidRDefault="004E1885" w:rsidP="004E1885">
            <w:pPr>
              <w:spacing w:after="0" w:line="182" w:lineRule="atLeast"/>
              <w:rPr>
                <w:rFonts w:ascii="Times New Roman" w:eastAsia="Times New Roman" w:hAnsi="Times New Roman" w:cs="Times New Roman"/>
                <w:sz w:val="24"/>
                <w:szCs w:val="24"/>
              </w:rPr>
            </w:pPr>
            <w:r w:rsidRPr="004E1885">
              <w:rPr>
                <w:rFonts w:ascii="Arial" w:eastAsia="Times New Roman" w:hAnsi="Arial" w:cs="Arial"/>
                <w:sz w:val="20"/>
                <w:szCs w:val="20"/>
              </w:rPr>
              <w:t>Uvjeti uređenja javnih zelenih površina</w:t>
            </w:r>
          </w:p>
        </w:tc>
      </w:tr>
      <w:tr w:rsidR="004E1885" w:rsidRPr="004E1885" w:rsidTr="004E1885">
        <w:trPr>
          <w:trHeight w:val="197"/>
        </w:trPr>
        <w:tc>
          <w:tcPr>
            <w:tcW w:w="250" w:type="dxa"/>
            <w:tcMar>
              <w:top w:w="0" w:type="dxa"/>
              <w:left w:w="40" w:type="dxa"/>
              <w:bottom w:w="0" w:type="dxa"/>
              <w:right w:w="40" w:type="dxa"/>
            </w:tcMar>
            <w:hideMark/>
          </w:tcPr>
          <w:p w:rsidR="004E1885" w:rsidRPr="004E1885" w:rsidRDefault="004E1885" w:rsidP="004E1885">
            <w:pPr>
              <w:spacing w:after="0" w:line="197" w:lineRule="atLeast"/>
              <w:rPr>
                <w:rFonts w:ascii="Times New Roman" w:eastAsia="Times New Roman" w:hAnsi="Times New Roman" w:cs="Times New Roman"/>
                <w:sz w:val="24"/>
                <w:szCs w:val="24"/>
              </w:rPr>
            </w:pPr>
            <w:r w:rsidRPr="004E1885">
              <w:rPr>
                <w:rFonts w:ascii="Arial" w:eastAsia="Times New Roman" w:hAnsi="Arial" w:cs="Arial"/>
                <w:sz w:val="20"/>
                <w:szCs w:val="20"/>
              </w:rPr>
              <w:t>5.</w:t>
            </w:r>
          </w:p>
        </w:tc>
        <w:tc>
          <w:tcPr>
            <w:tcW w:w="8255" w:type="dxa"/>
            <w:tcMar>
              <w:top w:w="0" w:type="dxa"/>
              <w:left w:w="40" w:type="dxa"/>
              <w:bottom w:w="0" w:type="dxa"/>
              <w:right w:w="40" w:type="dxa"/>
            </w:tcMar>
            <w:hideMark/>
          </w:tcPr>
          <w:p w:rsidR="004E1885" w:rsidRPr="004E1885" w:rsidRDefault="004E1885" w:rsidP="004E1885">
            <w:pPr>
              <w:spacing w:after="0" w:line="197" w:lineRule="atLeast"/>
              <w:rPr>
                <w:rFonts w:ascii="Times New Roman" w:eastAsia="Times New Roman" w:hAnsi="Times New Roman" w:cs="Times New Roman"/>
                <w:sz w:val="24"/>
                <w:szCs w:val="24"/>
              </w:rPr>
            </w:pPr>
            <w:r w:rsidRPr="004E1885">
              <w:rPr>
                <w:rFonts w:ascii="Arial" w:eastAsia="Times New Roman" w:hAnsi="Arial" w:cs="Arial"/>
                <w:sz w:val="20"/>
                <w:szCs w:val="20"/>
              </w:rPr>
              <w:t>Mjere provedbe Plana</w:t>
            </w:r>
          </w:p>
        </w:tc>
      </w:tr>
      <w:tr w:rsidR="004E1885" w:rsidRPr="004E1885" w:rsidTr="004E1885">
        <w:trPr>
          <w:trHeight w:val="278"/>
        </w:trPr>
        <w:tc>
          <w:tcPr>
            <w:tcW w:w="250"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6.</w:t>
            </w:r>
          </w:p>
        </w:tc>
        <w:tc>
          <w:tcPr>
            <w:tcW w:w="8255"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Mjere sprečavanja nepovoljnog utjecaja na okoliš</w:t>
            </w:r>
          </w:p>
        </w:tc>
      </w:tr>
    </w:tbl>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lang w:val="en-US"/>
        </w:rPr>
        <w:t>II.  </w:t>
      </w:r>
      <w:r w:rsidRPr="004E1885">
        <w:rPr>
          <w:rFonts w:ascii="Arial" w:eastAsia="Times New Roman" w:hAnsi="Arial" w:cs="Arial"/>
          <w:color w:val="000000"/>
          <w:sz w:val="20"/>
          <w:lang w:val="en-US"/>
        </w:rPr>
        <w:t> </w:t>
      </w:r>
      <w:r w:rsidRPr="004E1885">
        <w:rPr>
          <w:rFonts w:ascii="Arial" w:eastAsia="Times New Roman" w:hAnsi="Arial" w:cs="Arial"/>
          <w:color w:val="000000"/>
          <w:sz w:val="20"/>
          <w:szCs w:val="20"/>
        </w:rPr>
        <w:t>Grafički prilozi u mjerilu 1:500</w:t>
      </w:r>
    </w:p>
    <w:tbl>
      <w:tblPr>
        <w:tblW w:w="9840" w:type="dxa"/>
        <w:tblInd w:w="40" w:type="dxa"/>
        <w:tblCellMar>
          <w:left w:w="0" w:type="dxa"/>
          <w:right w:w="0" w:type="dxa"/>
        </w:tblCellMar>
        <w:tblLook w:val="04A0"/>
      </w:tblPr>
      <w:tblGrid>
        <w:gridCol w:w="426"/>
        <w:gridCol w:w="7670"/>
        <w:gridCol w:w="1744"/>
      </w:tblGrid>
      <w:tr w:rsidR="004E1885" w:rsidRPr="004E1885" w:rsidTr="004E1885">
        <w:trPr>
          <w:trHeight w:val="151"/>
        </w:trPr>
        <w:tc>
          <w:tcPr>
            <w:tcW w:w="330" w:type="dxa"/>
            <w:tcMar>
              <w:top w:w="0" w:type="dxa"/>
              <w:left w:w="40" w:type="dxa"/>
              <w:bottom w:w="0" w:type="dxa"/>
              <w:right w:w="40" w:type="dxa"/>
            </w:tcMar>
            <w:hideMark/>
          </w:tcPr>
          <w:p w:rsidR="004E1885" w:rsidRPr="004E1885" w:rsidRDefault="004E1885" w:rsidP="004E1885">
            <w:pPr>
              <w:spacing w:after="0" w:line="151" w:lineRule="atLeast"/>
              <w:rPr>
                <w:rFonts w:ascii="Times New Roman" w:eastAsia="Times New Roman" w:hAnsi="Times New Roman" w:cs="Times New Roman"/>
                <w:sz w:val="24"/>
                <w:szCs w:val="24"/>
              </w:rPr>
            </w:pPr>
            <w:r w:rsidRPr="004E1885">
              <w:rPr>
                <w:rFonts w:ascii="Arial" w:eastAsia="Times New Roman" w:hAnsi="Arial" w:cs="Arial"/>
                <w:sz w:val="20"/>
                <w:szCs w:val="20"/>
              </w:rPr>
              <w:t>1.</w:t>
            </w:r>
          </w:p>
        </w:tc>
        <w:tc>
          <w:tcPr>
            <w:tcW w:w="7455" w:type="dxa"/>
            <w:tcMar>
              <w:top w:w="0" w:type="dxa"/>
              <w:left w:w="40" w:type="dxa"/>
              <w:bottom w:w="0" w:type="dxa"/>
              <w:right w:w="40" w:type="dxa"/>
            </w:tcMar>
            <w:hideMark/>
          </w:tcPr>
          <w:p w:rsidR="004E1885" w:rsidRPr="004E1885" w:rsidRDefault="004E1885" w:rsidP="004E1885">
            <w:pPr>
              <w:spacing w:after="0" w:line="151" w:lineRule="atLeast"/>
              <w:rPr>
                <w:rFonts w:ascii="Times New Roman" w:eastAsia="Times New Roman" w:hAnsi="Times New Roman" w:cs="Times New Roman"/>
                <w:sz w:val="24"/>
                <w:szCs w:val="24"/>
              </w:rPr>
            </w:pPr>
            <w:r w:rsidRPr="004E1885">
              <w:rPr>
                <w:rFonts w:ascii="Arial" w:eastAsia="Times New Roman" w:hAnsi="Arial" w:cs="Arial"/>
                <w:sz w:val="20"/>
                <w:szCs w:val="20"/>
              </w:rPr>
              <w:t>DETALJNA NAMJENA POVRŠINA</w:t>
            </w:r>
          </w:p>
        </w:tc>
        <w:tc>
          <w:tcPr>
            <w:tcW w:w="1695" w:type="dxa"/>
            <w:tcMar>
              <w:top w:w="0" w:type="dxa"/>
              <w:left w:w="40" w:type="dxa"/>
              <w:bottom w:w="0" w:type="dxa"/>
              <w:right w:w="40" w:type="dxa"/>
            </w:tcMar>
            <w:hideMark/>
          </w:tcPr>
          <w:p w:rsidR="004E1885" w:rsidRPr="004E1885" w:rsidRDefault="004E1885" w:rsidP="004E1885">
            <w:pPr>
              <w:spacing w:after="0" w:line="151" w:lineRule="atLeast"/>
              <w:jc w:val="right"/>
              <w:rPr>
                <w:rFonts w:ascii="Times New Roman" w:eastAsia="Times New Roman" w:hAnsi="Times New Roman" w:cs="Times New Roman"/>
                <w:sz w:val="24"/>
                <w:szCs w:val="24"/>
              </w:rPr>
            </w:pPr>
            <w:r w:rsidRPr="004E1885">
              <w:rPr>
                <w:rFonts w:ascii="Arial" w:eastAsia="Times New Roman" w:hAnsi="Arial" w:cs="Arial"/>
                <w:sz w:val="20"/>
                <w:szCs w:val="20"/>
              </w:rPr>
              <w:t>1:500</w:t>
            </w:r>
          </w:p>
        </w:tc>
      </w:tr>
      <w:tr w:rsidR="004E1885" w:rsidRPr="004E1885" w:rsidTr="004E1885">
        <w:trPr>
          <w:trHeight w:val="331"/>
        </w:trPr>
        <w:tc>
          <w:tcPr>
            <w:tcW w:w="330"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2.</w:t>
            </w:r>
          </w:p>
        </w:tc>
        <w:tc>
          <w:tcPr>
            <w:tcW w:w="7455"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PROMETNA, TELEKOMUNIKACIJSKA I KOMUNALNA INFRASTRUKTURNA MREŽA</w:t>
            </w:r>
          </w:p>
        </w:tc>
        <w:tc>
          <w:tcPr>
            <w:tcW w:w="1695" w:type="dxa"/>
            <w:tcMar>
              <w:top w:w="0" w:type="dxa"/>
              <w:left w:w="40" w:type="dxa"/>
              <w:bottom w:w="0" w:type="dxa"/>
              <w:right w:w="40" w:type="dxa"/>
            </w:tcMar>
            <w:hideMark/>
          </w:tcPr>
          <w:p w:rsidR="004E1885" w:rsidRPr="004E1885" w:rsidRDefault="004E1885" w:rsidP="004E1885">
            <w:pPr>
              <w:spacing w:after="0" w:line="240" w:lineRule="auto"/>
              <w:jc w:val="right"/>
              <w:rPr>
                <w:rFonts w:ascii="Times New Roman" w:eastAsia="Times New Roman" w:hAnsi="Times New Roman" w:cs="Times New Roman"/>
                <w:sz w:val="24"/>
                <w:szCs w:val="24"/>
              </w:rPr>
            </w:pPr>
            <w:r w:rsidRPr="004E1885">
              <w:rPr>
                <w:rFonts w:ascii="Arial" w:eastAsia="Times New Roman" w:hAnsi="Arial" w:cs="Arial"/>
                <w:sz w:val="20"/>
                <w:szCs w:val="20"/>
              </w:rPr>
              <w:t> </w:t>
            </w:r>
          </w:p>
        </w:tc>
      </w:tr>
      <w:tr w:rsidR="004E1885" w:rsidRPr="004E1885" w:rsidTr="004E1885">
        <w:trPr>
          <w:trHeight w:val="116"/>
        </w:trPr>
        <w:tc>
          <w:tcPr>
            <w:tcW w:w="330" w:type="dxa"/>
            <w:tcMar>
              <w:top w:w="0" w:type="dxa"/>
              <w:left w:w="40" w:type="dxa"/>
              <w:bottom w:w="0" w:type="dxa"/>
              <w:right w:w="40" w:type="dxa"/>
            </w:tcMar>
            <w:hideMark/>
          </w:tcPr>
          <w:p w:rsidR="004E1885" w:rsidRPr="004E1885" w:rsidRDefault="004E1885" w:rsidP="004E1885">
            <w:pPr>
              <w:spacing w:after="0" w:line="116" w:lineRule="atLeast"/>
              <w:rPr>
                <w:rFonts w:ascii="Times New Roman" w:eastAsia="Times New Roman" w:hAnsi="Times New Roman" w:cs="Times New Roman"/>
                <w:sz w:val="24"/>
                <w:szCs w:val="24"/>
              </w:rPr>
            </w:pPr>
            <w:r w:rsidRPr="004E1885">
              <w:rPr>
                <w:rFonts w:ascii="Arial" w:eastAsia="Times New Roman" w:hAnsi="Arial" w:cs="Arial"/>
                <w:sz w:val="20"/>
                <w:szCs w:val="20"/>
              </w:rPr>
              <w:t>2.1.</w:t>
            </w:r>
          </w:p>
        </w:tc>
        <w:tc>
          <w:tcPr>
            <w:tcW w:w="7455" w:type="dxa"/>
            <w:tcMar>
              <w:top w:w="0" w:type="dxa"/>
              <w:left w:w="40" w:type="dxa"/>
              <w:bottom w:w="0" w:type="dxa"/>
              <w:right w:w="40" w:type="dxa"/>
            </w:tcMar>
            <w:hideMark/>
          </w:tcPr>
          <w:p w:rsidR="004E1885" w:rsidRPr="004E1885" w:rsidRDefault="004E1885" w:rsidP="004E1885">
            <w:pPr>
              <w:spacing w:after="0" w:line="116" w:lineRule="atLeast"/>
              <w:rPr>
                <w:rFonts w:ascii="Times New Roman" w:eastAsia="Times New Roman" w:hAnsi="Times New Roman" w:cs="Times New Roman"/>
                <w:sz w:val="24"/>
                <w:szCs w:val="24"/>
              </w:rPr>
            </w:pPr>
            <w:r w:rsidRPr="004E1885">
              <w:rPr>
                <w:rFonts w:ascii="Arial" w:eastAsia="Times New Roman" w:hAnsi="Arial" w:cs="Arial"/>
                <w:sz w:val="20"/>
                <w:szCs w:val="20"/>
              </w:rPr>
              <w:t>PROMET</w:t>
            </w:r>
          </w:p>
        </w:tc>
        <w:tc>
          <w:tcPr>
            <w:tcW w:w="1695" w:type="dxa"/>
            <w:tcMar>
              <w:top w:w="0" w:type="dxa"/>
              <w:left w:w="40" w:type="dxa"/>
              <w:bottom w:w="0" w:type="dxa"/>
              <w:right w:w="40" w:type="dxa"/>
            </w:tcMar>
            <w:hideMark/>
          </w:tcPr>
          <w:p w:rsidR="004E1885" w:rsidRPr="004E1885" w:rsidRDefault="004E1885" w:rsidP="004E1885">
            <w:pPr>
              <w:spacing w:after="0" w:line="116" w:lineRule="atLeast"/>
              <w:jc w:val="right"/>
              <w:rPr>
                <w:rFonts w:ascii="Times New Roman" w:eastAsia="Times New Roman" w:hAnsi="Times New Roman" w:cs="Times New Roman"/>
                <w:sz w:val="24"/>
                <w:szCs w:val="24"/>
              </w:rPr>
            </w:pPr>
            <w:r w:rsidRPr="004E1885">
              <w:rPr>
                <w:rFonts w:ascii="Arial" w:eastAsia="Times New Roman" w:hAnsi="Arial" w:cs="Arial"/>
                <w:sz w:val="20"/>
                <w:szCs w:val="20"/>
              </w:rPr>
              <w:t>1:500</w:t>
            </w:r>
          </w:p>
        </w:tc>
      </w:tr>
      <w:tr w:rsidR="004E1885" w:rsidRPr="004E1885" w:rsidTr="004E1885">
        <w:trPr>
          <w:trHeight w:val="259"/>
        </w:trPr>
        <w:tc>
          <w:tcPr>
            <w:tcW w:w="330"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2.2.</w:t>
            </w:r>
          </w:p>
        </w:tc>
        <w:tc>
          <w:tcPr>
            <w:tcW w:w="7455"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TELEKOMUNIKACIJE I ENERGETSKI SUSTAV</w:t>
            </w:r>
          </w:p>
        </w:tc>
        <w:tc>
          <w:tcPr>
            <w:tcW w:w="1695" w:type="dxa"/>
            <w:tcMar>
              <w:top w:w="0" w:type="dxa"/>
              <w:left w:w="40" w:type="dxa"/>
              <w:bottom w:w="0" w:type="dxa"/>
              <w:right w:w="40" w:type="dxa"/>
            </w:tcMar>
            <w:hideMark/>
          </w:tcPr>
          <w:p w:rsidR="004E1885" w:rsidRPr="004E1885" w:rsidRDefault="004E1885" w:rsidP="004E1885">
            <w:pPr>
              <w:spacing w:after="0" w:line="240" w:lineRule="auto"/>
              <w:jc w:val="right"/>
              <w:rPr>
                <w:rFonts w:ascii="Times New Roman" w:eastAsia="Times New Roman" w:hAnsi="Times New Roman" w:cs="Times New Roman"/>
                <w:sz w:val="24"/>
                <w:szCs w:val="24"/>
              </w:rPr>
            </w:pPr>
            <w:r w:rsidRPr="004E1885">
              <w:rPr>
                <w:rFonts w:ascii="Arial" w:eastAsia="Times New Roman" w:hAnsi="Arial" w:cs="Arial"/>
                <w:sz w:val="20"/>
                <w:szCs w:val="20"/>
              </w:rPr>
              <w:t>1:500</w:t>
            </w:r>
          </w:p>
        </w:tc>
      </w:tr>
      <w:tr w:rsidR="004E1885" w:rsidRPr="004E1885" w:rsidTr="004E1885">
        <w:trPr>
          <w:trHeight w:val="259"/>
        </w:trPr>
        <w:tc>
          <w:tcPr>
            <w:tcW w:w="330"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2.3.</w:t>
            </w:r>
          </w:p>
        </w:tc>
        <w:tc>
          <w:tcPr>
            <w:tcW w:w="7455"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VODNOGOSPODARSKI SUSTAV</w:t>
            </w:r>
          </w:p>
        </w:tc>
        <w:tc>
          <w:tcPr>
            <w:tcW w:w="1695" w:type="dxa"/>
            <w:tcMar>
              <w:top w:w="0" w:type="dxa"/>
              <w:left w:w="40" w:type="dxa"/>
              <w:bottom w:w="0" w:type="dxa"/>
              <w:right w:w="40" w:type="dxa"/>
            </w:tcMar>
            <w:hideMark/>
          </w:tcPr>
          <w:p w:rsidR="004E1885" w:rsidRPr="004E1885" w:rsidRDefault="004E1885" w:rsidP="004E1885">
            <w:pPr>
              <w:spacing w:after="0" w:line="240" w:lineRule="auto"/>
              <w:jc w:val="right"/>
              <w:rPr>
                <w:rFonts w:ascii="Times New Roman" w:eastAsia="Times New Roman" w:hAnsi="Times New Roman" w:cs="Times New Roman"/>
                <w:sz w:val="24"/>
                <w:szCs w:val="24"/>
              </w:rPr>
            </w:pPr>
            <w:r w:rsidRPr="004E1885">
              <w:rPr>
                <w:rFonts w:ascii="Arial" w:eastAsia="Times New Roman" w:hAnsi="Arial" w:cs="Arial"/>
                <w:sz w:val="20"/>
                <w:szCs w:val="20"/>
              </w:rPr>
              <w:t>1:500</w:t>
            </w:r>
          </w:p>
        </w:tc>
      </w:tr>
      <w:tr w:rsidR="004E1885" w:rsidRPr="004E1885" w:rsidTr="004E1885">
        <w:trPr>
          <w:trHeight w:val="274"/>
        </w:trPr>
        <w:tc>
          <w:tcPr>
            <w:tcW w:w="330"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3.</w:t>
            </w:r>
          </w:p>
        </w:tc>
        <w:tc>
          <w:tcPr>
            <w:tcW w:w="7455" w:type="dxa"/>
            <w:tcMar>
              <w:top w:w="0" w:type="dxa"/>
              <w:left w:w="40" w:type="dxa"/>
              <w:bottom w:w="0" w:type="dxa"/>
              <w:right w:w="40" w:type="dxa"/>
            </w:tcMar>
            <w:hideMark/>
          </w:tcPr>
          <w:p w:rsidR="004E1885" w:rsidRPr="004E1885" w:rsidRDefault="004E1885" w:rsidP="004E1885">
            <w:pPr>
              <w:spacing w:after="0" w:line="240" w:lineRule="auto"/>
              <w:rPr>
                <w:rFonts w:ascii="Times New Roman" w:eastAsia="Times New Roman" w:hAnsi="Times New Roman" w:cs="Times New Roman"/>
                <w:sz w:val="24"/>
                <w:szCs w:val="24"/>
              </w:rPr>
            </w:pPr>
            <w:r w:rsidRPr="004E1885">
              <w:rPr>
                <w:rFonts w:ascii="Arial" w:eastAsia="Times New Roman" w:hAnsi="Arial" w:cs="Arial"/>
                <w:sz w:val="20"/>
                <w:szCs w:val="20"/>
              </w:rPr>
              <w:t>UVJETI KORIŠTENJA, UREĐENJA I ZAŠTITE POVRŠINA</w:t>
            </w:r>
          </w:p>
        </w:tc>
        <w:tc>
          <w:tcPr>
            <w:tcW w:w="1695" w:type="dxa"/>
            <w:tcMar>
              <w:top w:w="0" w:type="dxa"/>
              <w:left w:w="40" w:type="dxa"/>
              <w:bottom w:w="0" w:type="dxa"/>
              <w:right w:w="40" w:type="dxa"/>
            </w:tcMar>
            <w:hideMark/>
          </w:tcPr>
          <w:p w:rsidR="004E1885" w:rsidRPr="004E1885" w:rsidRDefault="004E1885" w:rsidP="004E1885">
            <w:pPr>
              <w:spacing w:after="0" w:line="240" w:lineRule="auto"/>
              <w:jc w:val="right"/>
              <w:rPr>
                <w:rFonts w:ascii="Times New Roman" w:eastAsia="Times New Roman" w:hAnsi="Times New Roman" w:cs="Times New Roman"/>
                <w:sz w:val="24"/>
                <w:szCs w:val="24"/>
              </w:rPr>
            </w:pPr>
            <w:r w:rsidRPr="004E1885">
              <w:rPr>
                <w:rFonts w:ascii="Arial" w:eastAsia="Times New Roman" w:hAnsi="Arial" w:cs="Arial"/>
                <w:sz w:val="20"/>
                <w:szCs w:val="20"/>
              </w:rPr>
              <w:t>1:500</w:t>
            </w:r>
          </w:p>
        </w:tc>
      </w:tr>
      <w:tr w:rsidR="004E1885" w:rsidRPr="004E1885" w:rsidTr="004E1885">
        <w:trPr>
          <w:trHeight w:val="87"/>
        </w:trPr>
        <w:tc>
          <w:tcPr>
            <w:tcW w:w="330" w:type="dxa"/>
            <w:tcMar>
              <w:top w:w="0" w:type="dxa"/>
              <w:left w:w="40" w:type="dxa"/>
              <w:bottom w:w="0" w:type="dxa"/>
              <w:right w:w="40" w:type="dxa"/>
            </w:tcMar>
            <w:hideMark/>
          </w:tcPr>
          <w:p w:rsidR="004E1885" w:rsidRPr="004E1885" w:rsidRDefault="004E1885" w:rsidP="004E1885">
            <w:pPr>
              <w:spacing w:after="0" w:line="87" w:lineRule="atLeast"/>
              <w:rPr>
                <w:rFonts w:ascii="Times New Roman" w:eastAsia="Times New Roman" w:hAnsi="Times New Roman" w:cs="Times New Roman"/>
                <w:sz w:val="24"/>
                <w:szCs w:val="24"/>
              </w:rPr>
            </w:pPr>
            <w:r w:rsidRPr="004E1885">
              <w:rPr>
                <w:rFonts w:ascii="Arial" w:eastAsia="Times New Roman" w:hAnsi="Arial" w:cs="Arial"/>
                <w:sz w:val="20"/>
                <w:szCs w:val="20"/>
              </w:rPr>
              <w:t>4.</w:t>
            </w:r>
          </w:p>
        </w:tc>
        <w:tc>
          <w:tcPr>
            <w:tcW w:w="7455" w:type="dxa"/>
            <w:tcMar>
              <w:top w:w="0" w:type="dxa"/>
              <w:left w:w="40" w:type="dxa"/>
              <w:bottom w:w="0" w:type="dxa"/>
              <w:right w:w="40" w:type="dxa"/>
            </w:tcMar>
            <w:hideMark/>
          </w:tcPr>
          <w:p w:rsidR="004E1885" w:rsidRPr="004E1885" w:rsidRDefault="004E1885" w:rsidP="004E1885">
            <w:pPr>
              <w:spacing w:after="0" w:line="87" w:lineRule="atLeast"/>
              <w:rPr>
                <w:rFonts w:ascii="Times New Roman" w:eastAsia="Times New Roman" w:hAnsi="Times New Roman" w:cs="Times New Roman"/>
                <w:sz w:val="24"/>
                <w:szCs w:val="24"/>
              </w:rPr>
            </w:pPr>
            <w:r w:rsidRPr="004E1885">
              <w:rPr>
                <w:rFonts w:ascii="Arial" w:eastAsia="Times New Roman" w:hAnsi="Arial" w:cs="Arial"/>
                <w:sz w:val="20"/>
                <w:szCs w:val="20"/>
              </w:rPr>
              <w:t>UVJETI GRADNJE</w:t>
            </w:r>
          </w:p>
        </w:tc>
        <w:tc>
          <w:tcPr>
            <w:tcW w:w="1695" w:type="dxa"/>
            <w:tcMar>
              <w:top w:w="0" w:type="dxa"/>
              <w:left w:w="40" w:type="dxa"/>
              <w:bottom w:w="0" w:type="dxa"/>
              <w:right w:w="40" w:type="dxa"/>
            </w:tcMar>
            <w:hideMark/>
          </w:tcPr>
          <w:p w:rsidR="004E1885" w:rsidRPr="004E1885" w:rsidRDefault="004E1885" w:rsidP="004E1885">
            <w:pPr>
              <w:spacing w:after="0" w:line="87" w:lineRule="atLeast"/>
              <w:jc w:val="right"/>
              <w:rPr>
                <w:rFonts w:ascii="Times New Roman" w:eastAsia="Times New Roman" w:hAnsi="Times New Roman" w:cs="Times New Roman"/>
                <w:sz w:val="24"/>
                <w:szCs w:val="24"/>
              </w:rPr>
            </w:pPr>
            <w:r w:rsidRPr="004E1885">
              <w:rPr>
                <w:rFonts w:ascii="Arial" w:eastAsia="Times New Roman" w:hAnsi="Arial" w:cs="Arial"/>
                <w:sz w:val="20"/>
                <w:szCs w:val="20"/>
              </w:rPr>
              <w:t>1:500</w:t>
            </w:r>
          </w:p>
        </w:tc>
      </w:tr>
      <w:tr w:rsidR="004E1885" w:rsidRPr="004E1885" w:rsidTr="004E1885">
        <w:trPr>
          <w:trHeight w:val="118"/>
        </w:trPr>
        <w:tc>
          <w:tcPr>
            <w:tcW w:w="330" w:type="dxa"/>
            <w:tcMar>
              <w:top w:w="0" w:type="dxa"/>
              <w:left w:w="40" w:type="dxa"/>
              <w:bottom w:w="0" w:type="dxa"/>
              <w:right w:w="40" w:type="dxa"/>
            </w:tcMar>
            <w:hideMark/>
          </w:tcPr>
          <w:p w:rsidR="004E1885" w:rsidRPr="004E1885" w:rsidRDefault="004E1885" w:rsidP="004E1885">
            <w:pPr>
              <w:spacing w:after="0" w:line="118" w:lineRule="atLeast"/>
              <w:rPr>
                <w:rFonts w:ascii="Times New Roman" w:eastAsia="Times New Roman" w:hAnsi="Times New Roman" w:cs="Times New Roman"/>
                <w:sz w:val="24"/>
                <w:szCs w:val="24"/>
              </w:rPr>
            </w:pPr>
            <w:r w:rsidRPr="004E1885">
              <w:rPr>
                <w:rFonts w:ascii="Arial" w:eastAsia="Times New Roman" w:hAnsi="Arial" w:cs="Arial"/>
                <w:sz w:val="20"/>
                <w:szCs w:val="20"/>
              </w:rPr>
              <w:t>4.1.</w:t>
            </w:r>
          </w:p>
        </w:tc>
        <w:tc>
          <w:tcPr>
            <w:tcW w:w="7455" w:type="dxa"/>
            <w:tcMar>
              <w:top w:w="0" w:type="dxa"/>
              <w:left w:w="40" w:type="dxa"/>
              <w:bottom w:w="0" w:type="dxa"/>
              <w:right w:w="40" w:type="dxa"/>
            </w:tcMar>
            <w:hideMark/>
          </w:tcPr>
          <w:p w:rsidR="004E1885" w:rsidRPr="004E1885" w:rsidRDefault="004E1885" w:rsidP="004E1885">
            <w:pPr>
              <w:spacing w:after="0" w:line="118" w:lineRule="atLeast"/>
              <w:rPr>
                <w:rFonts w:ascii="Times New Roman" w:eastAsia="Times New Roman" w:hAnsi="Times New Roman" w:cs="Times New Roman"/>
                <w:sz w:val="24"/>
                <w:szCs w:val="24"/>
              </w:rPr>
            </w:pPr>
            <w:r w:rsidRPr="004E1885">
              <w:rPr>
                <w:rFonts w:ascii="Arial" w:eastAsia="Times New Roman" w:hAnsi="Arial" w:cs="Arial"/>
                <w:sz w:val="20"/>
                <w:szCs w:val="20"/>
              </w:rPr>
              <w:t>GROBNA POLJA 1-6</w:t>
            </w:r>
          </w:p>
        </w:tc>
        <w:tc>
          <w:tcPr>
            <w:tcW w:w="1695" w:type="dxa"/>
            <w:tcMar>
              <w:top w:w="0" w:type="dxa"/>
              <w:left w:w="40" w:type="dxa"/>
              <w:bottom w:w="0" w:type="dxa"/>
              <w:right w:w="40" w:type="dxa"/>
            </w:tcMar>
            <w:hideMark/>
          </w:tcPr>
          <w:p w:rsidR="004E1885" w:rsidRPr="004E1885" w:rsidRDefault="004E1885" w:rsidP="004E1885">
            <w:pPr>
              <w:spacing w:after="0" w:line="118" w:lineRule="atLeast"/>
              <w:jc w:val="right"/>
              <w:rPr>
                <w:rFonts w:ascii="Times New Roman" w:eastAsia="Times New Roman" w:hAnsi="Times New Roman" w:cs="Times New Roman"/>
                <w:sz w:val="24"/>
                <w:szCs w:val="24"/>
              </w:rPr>
            </w:pPr>
            <w:r w:rsidRPr="004E1885">
              <w:rPr>
                <w:rFonts w:ascii="Arial" w:eastAsia="Times New Roman" w:hAnsi="Arial" w:cs="Arial"/>
                <w:sz w:val="20"/>
                <w:szCs w:val="20"/>
              </w:rPr>
              <w:t>1:200</w:t>
            </w:r>
          </w:p>
        </w:tc>
      </w:tr>
      <w:tr w:rsidR="004E1885" w:rsidRPr="004E1885" w:rsidTr="004E1885">
        <w:trPr>
          <w:trHeight w:val="137"/>
        </w:trPr>
        <w:tc>
          <w:tcPr>
            <w:tcW w:w="330" w:type="dxa"/>
            <w:tcMar>
              <w:top w:w="0" w:type="dxa"/>
              <w:left w:w="40" w:type="dxa"/>
              <w:bottom w:w="0" w:type="dxa"/>
              <w:right w:w="40" w:type="dxa"/>
            </w:tcMar>
            <w:hideMark/>
          </w:tcPr>
          <w:p w:rsidR="004E1885" w:rsidRPr="004E1885" w:rsidRDefault="004E1885" w:rsidP="004E1885">
            <w:pPr>
              <w:spacing w:after="0" w:line="137" w:lineRule="atLeast"/>
              <w:rPr>
                <w:rFonts w:ascii="Times New Roman" w:eastAsia="Times New Roman" w:hAnsi="Times New Roman" w:cs="Times New Roman"/>
                <w:sz w:val="24"/>
                <w:szCs w:val="24"/>
              </w:rPr>
            </w:pPr>
            <w:r w:rsidRPr="004E1885">
              <w:rPr>
                <w:rFonts w:ascii="Arial" w:eastAsia="Times New Roman" w:hAnsi="Arial" w:cs="Arial"/>
                <w:sz w:val="20"/>
                <w:szCs w:val="20"/>
              </w:rPr>
              <w:t>4.2.</w:t>
            </w:r>
          </w:p>
        </w:tc>
        <w:tc>
          <w:tcPr>
            <w:tcW w:w="7455" w:type="dxa"/>
            <w:tcMar>
              <w:top w:w="0" w:type="dxa"/>
              <w:left w:w="40" w:type="dxa"/>
              <w:bottom w:w="0" w:type="dxa"/>
              <w:right w:w="40" w:type="dxa"/>
            </w:tcMar>
            <w:hideMark/>
          </w:tcPr>
          <w:p w:rsidR="004E1885" w:rsidRPr="004E1885" w:rsidRDefault="004E1885" w:rsidP="004E1885">
            <w:pPr>
              <w:spacing w:after="0" w:line="137" w:lineRule="atLeast"/>
              <w:rPr>
                <w:rFonts w:ascii="Times New Roman" w:eastAsia="Times New Roman" w:hAnsi="Times New Roman" w:cs="Times New Roman"/>
                <w:sz w:val="24"/>
                <w:szCs w:val="24"/>
              </w:rPr>
            </w:pPr>
            <w:r w:rsidRPr="004E1885">
              <w:rPr>
                <w:rFonts w:ascii="Arial" w:eastAsia="Times New Roman" w:hAnsi="Arial" w:cs="Arial"/>
                <w:sz w:val="20"/>
                <w:szCs w:val="20"/>
              </w:rPr>
              <w:t>NACRTI I UVJETI ZA GRADNJU I OPREMANJE UKUPNOG MJESTA</w:t>
            </w:r>
          </w:p>
        </w:tc>
        <w:tc>
          <w:tcPr>
            <w:tcW w:w="1695" w:type="dxa"/>
            <w:tcMar>
              <w:top w:w="0" w:type="dxa"/>
              <w:left w:w="40" w:type="dxa"/>
              <w:bottom w:w="0" w:type="dxa"/>
              <w:right w:w="40" w:type="dxa"/>
            </w:tcMar>
            <w:hideMark/>
          </w:tcPr>
          <w:p w:rsidR="004E1885" w:rsidRPr="004E1885" w:rsidRDefault="004E1885" w:rsidP="004E1885">
            <w:pPr>
              <w:spacing w:after="0" w:line="137" w:lineRule="atLeast"/>
              <w:jc w:val="right"/>
              <w:rPr>
                <w:rFonts w:ascii="Times New Roman" w:eastAsia="Times New Roman" w:hAnsi="Times New Roman" w:cs="Times New Roman"/>
                <w:sz w:val="24"/>
                <w:szCs w:val="24"/>
              </w:rPr>
            </w:pPr>
            <w:r w:rsidRPr="004E1885">
              <w:rPr>
                <w:rFonts w:ascii="Arial" w:eastAsia="Times New Roman" w:hAnsi="Arial" w:cs="Arial"/>
                <w:sz w:val="20"/>
                <w:szCs w:val="20"/>
              </w:rPr>
              <w:t>1:100, 1:50</w:t>
            </w:r>
          </w:p>
        </w:tc>
      </w:tr>
    </w:tbl>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3.</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Detaljni plan uređenja groblja Lupoglav izrađen je u skladu s Programom mjera unapređenja stanja u prostoru (Službeni glasnik Općine Brckovljani 01/04).</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lang w:val="en-US"/>
        </w:rPr>
        <w:t>II.</w:t>
      </w:r>
      <w:r w:rsidRPr="004E1885">
        <w:rPr>
          <w:rFonts w:ascii="Arial" w:eastAsia="Times New Roman" w:hAnsi="Arial" w:cs="Arial"/>
          <w:color w:val="000000"/>
          <w:sz w:val="20"/>
          <w:lang w:val="en-US"/>
        </w:rPr>
        <w:t> </w:t>
      </w:r>
      <w:r w:rsidRPr="004E1885">
        <w:rPr>
          <w:rFonts w:ascii="Arial" w:eastAsia="Times New Roman" w:hAnsi="Arial" w:cs="Arial"/>
          <w:color w:val="000000"/>
          <w:sz w:val="20"/>
          <w:szCs w:val="20"/>
        </w:rPr>
        <w:t>ODREDBE ZA PROVOĐENJE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1.</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lastRenderedPageBreak/>
        <w:t>Uvjeti određivanja namjene površina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4.</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Površine unutar obuhvata Detaljnog plana uređenja groblja Lupoglav (u daljnjem tekstu Plan) razgraničene su prema namjeni na kartografskom prikazu 1. Detaljna namjena površina u mjerilu M 1:500 i na kartografskom prikazu 4. Uvjeti gradnje - 4.1. - grobna polja 1- 6 u mjerilu M 1:200.</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Planirane su slijedeće osnovne grupe namjena površina:</w:t>
      </w:r>
    </w:p>
    <w:tbl>
      <w:tblPr>
        <w:tblW w:w="8160" w:type="dxa"/>
        <w:tblInd w:w="40" w:type="dxa"/>
        <w:tblCellMar>
          <w:left w:w="0" w:type="dxa"/>
          <w:right w:w="0" w:type="dxa"/>
        </w:tblCellMar>
        <w:tblLook w:val="04A0"/>
      </w:tblPr>
      <w:tblGrid>
        <w:gridCol w:w="252"/>
        <w:gridCol w:w="7908"/>
      </w:tblGrid>
      <w:tr w:rsidR="004E1885" w:rsidRPr="004E1885" w:rsidTr="004E1885">
        <w:trPr>
          <w:trHeight w:val="173"/>
        </w:trPr>
        <w:tc>
          <w:tcPr>
            <w:tcW w:w="165" w:type="dxa"/>
            <w:tcMar>
              <w:top w:w="0" w:type="dxa"/>
              <w:left w:w="40" w:type="dxa"/>
              <w:bottom w:w="0" w:type="dxa"/>
              <w:right w:w="40" w:type="dxa"/>
            </w:tcMar>
            <w:hideMark/>
          </w:tcPr>
          <w:p w:rsidR="004E1885" w:rsidRPr="004E1885" w:rsidRDefault="004E1885" w:rsidP="004E1885">
            <w:pPr>
              <w:spacing w:after="0" w:line="173" w:lineRule="atLeast"/>
              <w:rPr>
                <w:rFonts w:ascii="Times New Roman" w:eastAsia="Times New Roman" w:hAnsi="Times New Roman" w:cs="Times New Roman"/>
                <w:sz w:val="24"/>
                <w:szCs w:val="24"/>
              </w:rPr>
            </w:pPr>
            <w:r w:rsidRPr="004E1885">
              <w:rPr>
                <w:rFonts w:ascii="Arial" w:eastAsia="Times New Roman" w:hAnsi="Arial" w:cs="Arial"/>
                <w:sz w:val="20"/>
                <w:szCs w:val="20"/>
              </w:rPr>
              <w:t>1.</w:t>
            </w:r>
          </w:p>
        </w:tc>
        <w:tc>
          <w:tcPr>
            <w:tcW w:w="7755" w:type="dxa"/>
            <w:tcMar>
              <w:top w:w="0" w:type="dxa"/>
              <w:left w:w="40" w:type="dxa"/>
              <w:bottom w:w="0" w:type="dxa"/>
              <w:right w:w="40" w:type="dxa"/>
            </w:tcMar>
            <w:hideMark/>
          </w:tcPr>
          <w:p w:rsidR="004E1885" w:rsidRPr="004E1885" w:rsidRDefault="004E1885" w:rsidP="004E1885">
            <w:pPr>
              <w:spacing w:after="0" w:line="173" w:lineRule="atLeast"/>
              <w:rPr>
                <w:rFonts w:ascii="Times New Roman" w:eastAsia="Times New Roman" w:hAnsi="Times New Roman" w:cs="Times New Roman"/>
                <w:sz w:val="24"/>
                <w:szCs w:val="24"/>
              </w:rPr>
            </w:pPr>
            <w:r w:rsidRPr="004E1885">
              <w:rPr>
                <w:rFonts w:ascii="Arial" w:eastAsia="Times New Roman" w:hAnsi="Arial" w:cs="Arial"/>
                <w:sz w:val="20"/>
                <w:szCs w:val="20"/>
              </w:rPr>
              <w:t>Grobna mjesta (grobovi i kolumbarijske niše)</w:t>
            </w:r>
          </w:p>
        </w:tc>
      </w:tr>
      <w:tr w:rsidR="004E1885" w:rsidRPr="004E1885" w:rsidTr="004E1885">
        <w:trPr>
          <w:trHeight w:val="216"/>
        </w:trPr>
        <w:tc>
          <w:tcPr>
            <w:tcW w:w="165" w:type="dxa"/>
            <w:tcMar>
              <w:top w:w="0" w:type="dxa"/>
              <w:left w:w="40" w:type="dxa"/>
              <w:bottom w:w="0" w:type="dxa"/>
              <w:right w:w="40" w:type="dxa"/>
            </w:tcMar>
            <w:hideMark/>
          </w:tcPr>
          <w:p w:rsidR="004E1885" w:rsidRPr="004E1885" w:rsidRDefault="004E1885" w:rsidP="004E1885">
            <w:pPr>
              <w:spacing w:after="0" w:line="216" w:lineRule="atLeast"/>
              <w:rPr>
                <w:rFonts w:ascii="Times New Roman" w:eastAsia="Times New Roman" w:hAnsi="Times New Roman" w:cs="Times New Roman"/>
                <w:sz w:val="24"/>
                <w:szCs w:val="24"/>
              </w:rPr>
            </w:pPr>
            <w:r w:rsidRPr="004E1885">
              <w:rPr>
                <w:rFonts w:ascii="Arial" w:eastAsia="Times New Roman" w:hAnsi="Arial" w:cs="Arial"/>
                <w:sz w:val="20"/>
                <w:szCs w:val="20"/>
              </w:rPr>
              <w:t>2.</w:t>
            </w:r>
          </w:p>
        </w:tc>
        <w:tc>
          <w:tcPr>
            <w:tcW w:w="7755" w:type="dxa"/>
            <w:tcMar>
              <w:top w:w="0" w:type="dxa"/>
              <w:left w:w="40" w:type="dxa"/>
              <w:bottom w:w="0" w:type="dxa"/>
              <w:right w:w="40" w:type="dxa"/>
            </w:tcMar>
            <w:hideMark/>
          </w:tcPr>
          <w:p w:rsidR="004E1885" w:rsidRPr="004E1885" w:rsidRDefault="004E1885" w:rsidP="004E1885">
            <w:pPr>
              <w:spacing w:after="0" w:line="216" w:lineRule="atLeast"/>
              <w:rPr>
                <w:rFonts w:ascii="Times New Roman" w:eastAsia="Times New Roman" w:hAnsi="Times New Roman" w:cs="Times New Roman"/>
                <w:sz w:val="24"/>
                <w:szCs w:val="24"/>
              </w:rPr>
            </w:pPr>
            <w:r w:rsidRPr="004E1885">
              <w:rPr>
                <w:rFonts w:ascii="Arial" w:eastAsia="Times New Roman" w:hAnsi="Arial" w:cs="Arial"/>
                <w:sz w:val="20"/>
                <w:szCs w:val="20"/>
              </w:rPr>
              <w:t>Građevine i pripadajući prostori</w:t>
            </w:r>
          </w:p>
        </w:tc>
      </w:tr>
      <w:tr w:rsidR="004E1885" w:rsidRPr="004E1885" w:rsidTr="004E1885">
        <w:trPr>
          <w:trHeight w:val="173"/>
        </w:trPr>
        <w:tc>
          <w:tcPr>
            <w:tcW w:w="165" w:type="dxa"/>
            <w:tcMar>
              <w:top w:w="0" w:type="dxa"/>
              <w:left w:w="40" w:type="dxa"/>
              <w:bottom w:w="0" w:type="dxa"/>
              <w:right w:w="40" w:type="dxa"/>
            </w:tcMar>
            <w:hideMark/>
          </w:tcPr>
          <w:p w:rsidR="004E1885" w:rsidRPr="004E1885" w:rsidRDefault="004E1885" w:rsidP="004E1885">
            <w:pPr>
              <w:spacing w:after="0" w:line="173" w:lineRule="atLeast"/>
              <w:rPr>
                <w:rFonts w:ascii="Times New Roman" w:eastAsia="Times New Roman" w:hAnsi="Times New Roman" w:cs="Times New Roman"/>
                <w:sz w:val="24"/>
                <w:szCs w:val="24"/>
              </w:rPr>
            </w:pPr>
            <w:r w:rsidRPr="004E1885">
              <w:rPr>
                <w:rFonts w:ascii="Arial" w:eastAsia="Times New Roman" w:hAnsi="Arial" w:cs="Arial"/>
                <w:sz w:val="20"/>
                <w:szCs w:val="20"/>
              </w:rPr>
              <w:t>3.</w:t>
            </w:r>
          </w:p>
        </w:tc>
        <w:tc>
          <w:tcPr>
            <w:tcW w:w="7755" w:type="dxa"/>
            <w:tcMar>
              <w:top w:w="0" w:type="dxa"/>
              <w:left w:w="40" w:type="dxa"/>
              <w:bottom w:w="0" w:type="dxa"/>
              <w:right w:w="40" w:type="dxa"/>
            </w:tcMar>
            <w:hideMark/>
          </w:tcPr>
          <w:p w:rsidR="004E1885" w:rsidRPr="004E1885" w:rsidRDefault="004E1885" w:rsidP="004E1885">
            <w:pPr>
              <w:spacing w:after="0" w:line="173" w:lineRule="atLeast"/>
              <w:rPr>
                <w:rFonts w:ascii="Times New Roman" w:eastAsia="Times New Roman" w:hAnsi="Times New Roman" w:cs="Times New Roman"/>
                <w:sz w:val="24"/>
                <w:szCs w:val="24"/>
              </w:rPr>
            </w:pPr>
            <w:r w:rsidRPr="004E1885">
              <w:rPr>
                <w:rFonts w:ascii="Arial" w:eastAsia="Times New Roman" w:hAnsi="Arial" w:cs="Arial"/>
                <w:sz w:val="20"/>
                <w:szCs w:val="20"/>
              </w:rPr>
              <w:t>Zelene parkovne površine</w:t>
            </w:r>
          </w:p>
        </w:tc>
      </w:tr>
      <w:tr w:rsidR="004E1885" w:rsidRPr="004E1885" w:rsidTr="004E1885">
        <w:trPr>
          <w:trHeight w:val="192"/>
        </w:trPr>
        <w:tc>
          <w:tcPr>
            <w:tcW w:w="165" w:type="dxa"/>
            <w:tcMar>
              <w:top w:w="0" w:type="dxa"/>
              <w:left w:w="40" w:type="dxa"/>
              <w:bottom w:w="0" w:type="dxa"/>
              <w:right w:w="40" w:type="dxa"/>
            </w:tcMar>
            <w:hideMark/>
          </w:tcPr>
          <w:p w:rsidR="004E1885" w:rsidRPr="004E1885" w:rsidRDefault="004E1885" w:rsidP="004E1885">
            <w:pPr>
              <w:spacing w:after="0" w:line="192" w:lineRule="atLeast"/>
              <w:rPr>
                <w:rFonts w:ascii="Times New Roman" w:eastAsia="Times New Roman" w:hAnsi="Times New Roman" w:cs="Times New Roman"/>
                <w:sz w:val="24"/>
                <w:szCs w:val="24"/>
              </w:rPr>
            </w:pPr>
            <w:r w:rsidRPr="004E1885">
              <w:rPr>
                <w:rFonts w:ascii="Arial" w:eastAsia="Times New Roman" w:hAnsi="Arial" w:cs="Arial"/>
                <w:sz w:val="20"/>
                <w:szCs w:val="20"/>
              </w:rPr>
              <w:t>4.</w:t>
            </w:r>
          </w:p>
        </w:tc>
        <w:tc>
          <w:tcPr>
            <w:tcW w:w="7755" w:type="dxa"/>
            <w:tcMar>
              <w:top w:w="0" w:type="dxa"/>
              <w:left w:w="40" w:type="dxa"/>
              <w:bottom w:w="0" w:type="dxa"/>
              <w:right w:w="40" w:type="dxa"/>
            </w:tcMar>
            <w:hideMark/>
          </w:tcPr>
          <w:p w:rsidR="004E1885" w:rsidRPr="004E1885" w:rsidRDefault="004E1885" w:rsidP="004E1885">
            <w:pPr>
              <w:spacing w:after="0" w:line="192" w:lineRule="atLeast"/>
              <w:rPr>
                <w:rFonts w:ascii="Times New Roman" w:eastAsia="Times New Roman" w:hAnsi="Times New Roman" w:cs="Times New Roman"/>
                <w:sz w:val="24"/>
                <w:szCs w:val="24"/>
              </w:rPr>
            </w:pPr>
            <w:r w:rsidRPr="004E1885">
              <w:rPr>
                <w:rFonts w:ascii="Arial" w:eastAsia="Times New Roman" w:hAnsi="Arial" w:cs="Arial"/>
                <w:sz w:val="20"/>
                <w:szCs w:val="20"/>
              </w:rPr>
              <w:t>Trgovi, odmorišta te prostori za slavine, </w:t>
            </w:r>
            <w:r w:rsidRPr="004E1885">
              <w:rPr>
                <w:rFonts w:ascii="Arial" w:eastAsia="Times New Roman" w:hAnsi="Arial" w:cs="Arial"/>
                <w:sz w:val="20"/>
              </w:rPr>
              <w:t> </w:t>
            </w:r>
            <w:r w:rsidRPr="004E1885">
              <w:rPr>
                <w:rFonts w:ascii="Arial" w:eastAsia="Times New Roman" w:hAnsi="Arial" w:cs="Arial"/>
                <w:sz w:val="20"/>
                <w:szCs w:val="20"/>
              </w:rPr>
              <w:t>koševe i kontejnere za otpad</w:t>
            </w:r>
          </w:p>
        </w:tc>
      </w:tr>
      <w:tr w:rsidR="004E1885" w:rsidRPr="004E1885" w:rsidTr="004E1885">
        <w:trPr>
          <w:trHeight w:val="221"/>
        </w:trPr>
        <w:tc>
          <w:tcPr>
            <w:tcW w:w="165" w:type="dxa"/>
            <w:tcMar>
              <w:top w:w="0" w:type="dxa"/>
              <w:left w:w="40" w:type="dxa"/>
              <w:bottom w:w="0" w:type="dxa"/>
              <w:right w:w="40" w:type="dxa"/>
            </w:tcMar>
            <w:hideMark/>
          </w:tcPr>
          <w:p w:rsidR="004E1885" w:rsidRPr="004E1885" w:rsidRDefault="004E1885" w:rsidP="004E1885">
            <w:pPr>
              <w:spacing w:after="0" w:line="221" w:lineRule="atLeast"/>
              <w:rPr>
                <w:rFonts w:ascii="Times New Roman" w:eastAsia="Times New Roman" w:hAnsi="Times New Roman" w:cs="Times New Roman"/>
                <w:sz w:val="24"/>
                <w:szCs w:val="24"/>
              </w:rPr>
            </w:pPr>
            <w:r w:rsidRPr="004E1885">
              <w:rPr>
                <w:rFonts w:ascii="Arial" w:eastAsia="Times New Roman" w:hAnsi="Arial" w:cs="Arial"/>
                <w:sz w:val="20"/>
                <w:szCs w:val="20"/>
              </w:rPr>
              <w:t>5.</w:t>
            </w:r>
          </w:p>
        </w:tc>
        <w:tc>
          <w:tcPr>
            <w:tcW w:w="7755" w:type="dxa"/>
            <w:tcMar>
              <w:top w:w="0" w:type="dxa"/>
              <w:left w:w="40" w:type="dxa"/>
              <w:bottom w:w="0" w:type="dxa"/>
              <w:right w:w="40" w:type="dxa"/>
            </w:tcMar>
            <w:hideMark/>
          </w:tcPr>
          <w:p w:rsidR="004E1885" w:rsidRPr="004E1885" w:rsidRDefault="004E1885" w:rsidP="004E1885">
            <w:pPr>
              <w:spacing w:after="0" w:line="221" w:lineRule="atLeast"/>
              <w:rPr>
                <w:rFonts w:ascii="Times New Roman" w:eastAsia="Times New Roman" w:hAnsi="Times New Roman" w:cs="Times New Roman"/>
                <w:sz w:val="24"/>
                <w:szCs w:val="24"/>
              </w:rPr>
            </w:pPr>
            <w:r w:rsidRPr="004E1885">
              <w:rPr>
                <w:rFonts w:ascii="Arial" w:eastAsia="Times New Roman" w:hAnsi="Arial" w:cs="Arial"/>
                <w:sz w:val="20"/>
                <w:szCs w:val="20"/>
              </w:rPr>
              <w:t>Infrastrukturne površine</w:t>
            </w:r>
          </w:p>
        </w:tc>
      </w:tr>
    </w:tbl>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2.</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Detaljni uvjeti korištenja, uređenja i gradnje građevinskih čestica i građevina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5.</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Netto dimenzija zemljanog grobnog mjesta predstavlja veličinu same ukopne jame koja iznosi u jednom stupcu 90 x 215 cm, a u dva stupca 170x215 cm. Brutto dimenzija zemljanog grobnog mjesta u jednom stupcu iznosi 120x251, a u dva stupca 200x251 cm. Dubina ukopnog mjesta je u zemljanim grobovima najmanje 200 cm. Dno groba mora biti najmanje 50 cm iznad najviše točke podzemne vode. Kod zemljanih grobova treba osigurati najmanje 0,80 metara zemlje iznad lijesa.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U površinu groba ubraja se prostor za ukop i staza oko groba. Za jedno grobno mjesto optimalni prostor iznosi 6,50 m</w:t>
      </w:r>
      <w:r w:rsidRPr="004E1885">
        <w:rPr>
          <w:rFonts w:ascii="Arial" w:eastAsia="Times New Roman" w:hAnsi="Arial" w:cs="Arial"/>
          <w:color w:val="000000"/>
          <w:sz w:val="20"/>
          <w:szCs w:val="20"/>
          <w:vertAlign w:val="superscript"/>
        </w:rPr>
        <w:t>2</w:t>
      </w:r>
      <w:r w:rsidRPr="004E1885">
        <w:rPr>
          <w:rFonts w:ascii="Arial" w:eastAsia="Times New Roman" w:hAnsi="Arial" w:cs="Arial"/>
          <w:color w:val="000000"/>
          <w:sz w:val="20"/>
          <w:vertAlign w:val="superscript"/>
        </w:rPr>
        <w:t> </w:t>
      </w:r>
      <w:r w:rsidRPr="004E1885">
        <w:rPr>
          <w:rFonts w:ascii="Arial" w:eastAsia="Times New Roman" w:hAnsi="Arial" w:cs="Arial"/>
          <w:color w:val="000000"/>
          <w:sz w:val="20"/>
          <w:szCs w:val="20"/>
        </w:rPr>
        <w:t>Za dva grobna mjesta optimalni prostor iznosi 10,00 m</w:t>
      </w:r>
      <w:r w:rsidRPr="004E1885">
        <w:rPr>
          <w:rFonts w:ascii="Arial" w:eastAsia="Times New Roman" w:hAnsi="Arial" w:cs="Arial"/>
          <w:color w:val="000000"/>
          <w:sz w:val="20"/>
          <w:szCs w:val="20"/>
          <w:vertAlign w:val="superscript"/>
        </w:rPr>
        <w:t>2</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Staza između dva reda grobova u grobnom polju (zrcalno okrenutih u odnosu na stazu) mora biti širine 160 cm zbog mogućnosti strojnog ukopa jame. Prostor iza groba predviđen je za sadnju zelenila, a treba biti minimalno 50 cm širine. Staze između grobova u istom redu s lijeve i desne strane groba iznose minimalno 30 cm širine.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6.</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Grobovi se mogu prenamjenjivati u grobnice ukoliko je izvedena drenaža u pristupnim stazama. Grobnice mogu biti i drugačijih dimenzija i načina izvedbe uz obvezu da se izradi poseban projekt za iste. Grobovi i grobnice se postavljaju na način da je uzglavlje uz živicu.</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7.</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Kolumbarijske niše se izvode u građevinama oblika zida na za to predviđeno mjesto. Netto dimenzija niše iznosi 60x60x30 cm.</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8.</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Kod zemljanih grobova i grobnica dozvoljava se postava svih tipova nadgrobnih ploča uz poštivanje tradicionalnih načina ukapanja. Ne dozvoljava se gradnja spomenika viših od 2 m na pojedinačnom grobnom mjestu.</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9.</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Grobovi se postavljaju u grobne redove ne duže od 50 m. Između grobnih redova izvode se pristupne staze minimalne širine 1,6 m koje se moraju povezati na glavne staze između grobnih polja.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lastRenderedPageBreak/>
        <w:t>Grobna polja se sastoje od grobnih redova i međurazmaka koji služi kao prilazna staza.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Grobna polja su odijeljena glavnim stazama minimalne širine 3 m. Staze moraju biti od tvrdog materijala, bez prepreka u kretanju ne većeg uzdužnog nagiba od 2% i ne većeg poprečnog nagiba od 1%.</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10.</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Građevine i pripadajući prostori groblja su:</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Centralni objekt koji se sastoji:  </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od oproštajnih prostora (mrtvačnica, oproštajne dvorane i pomoćnih prostorija), pogonskog, radnog</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službenog dijela.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Prateće usluge (prodaja cvijeća, svijeća, opreme i slično)</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11.</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Mrtvačnica se sastoji od dvije odarnice dimenzija 2 x 25 m2 s mogućnošću spajanja istih u jednu dvoranu. Odarnice su orijentirane prema oproštajnom prostoru.</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Pomoćne prostorije su namijenjene za prostor za svećenika, za spremanje vijenaca i cvijeća, te sanitarije za posjetitelje.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12.</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Pogonski, radni i službeni dio treba smjestiti sa sjeveroistočne strane centralnog objekta, tako da je posebnim kolnim prilazom zaklonjen od javnih prostora i okupljanja.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Pogonski, radni i službeni dio sastoji se od prostora za prijem i odlaganje lijesova, prostora za službeno osoblje (administraciju), prostora za identifikaciju i opremanje pokojnika. Prostorija za službeno osoblje mora imati garderobne i sanitarne uređaje.</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Na groblju je predviđen prostor za odlaganje otpada unutar zone pogonskog i službenog dijela groblja - zatvoreni i ograđeni i to posebno za organski otpad (cvijeće zelenilo i slično) a posebno za kruti otpad (plastika, keramika i slično).</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Prostore iz prethodnog i ovog članka treba organizirati unutar jednog prizemnog objekta a kao materijal za obradu pročelja preporuča se neglazirana opeka. Krov objekta preporuča se ravan.</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13.</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Groblje mora biti ograđeno, a po potrebi i čuvano. Oko planiranih površina za zonu proširenja groblja treba izvesti ogradu visine max. 2 m. Na ulasku u groblje mora biti postavljena tabla s planom groblja.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14.</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Prilikom projektiranja i izgradnje budućeg groblja potrebno je izraditi detaljne geotehničke istražne radove, te je potrebno za projektno rješenje izraditi geotehničke uvjete izvođenja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3.</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Način opremanja zemljišta prometnom, uličnom, komunalnom i telekomunikacijskom infrastrukturnom mrežom</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15.</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Sve građevine koje se izvode za potrebe groblja moraju biti prometno i komunalno opremljene. Prometna i ulična infrastruktura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lastRenderedPageBreak/>
        <w:t>Članak 16.</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 zonu DPU-a groblja Lupoglav određena je površina kao kolni pristup za dovoz pokojnika, smještaj osobnih vozila zaposlenika, odvoz smeća te manipulativni prostor uz centralni objekt, dok je prostor za smještaj osobnih vozila posjetitelja i osoba s invaliditetom uz pristupnu prometnici koja je izvan obuhvata DPU-a.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Planirana širina kolnog ulaza u groblje iznosi 4,0 m. Planirana pristupna prometnica je izvan obuhvata ovog Plana.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Dimenzije parkirališnih mjesta iznosi 2,5 x 5 m odnosno 5,9 x 5 m.</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17.</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 kretanje pješaka između grobnih polja gradit će se i uređivati pješačke staze širine od 3,0 m i 4,0 m.</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 kretanje pješaka unutar grobnih polja (između grobnih redova) graditi će se i uređivati pješačke staze širine 1,6 m.</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Površina za kretanje pješaka mora biti izrađena od tvrdog materijala i bez prepreka za kretanje. Kod projektiranja potrebno se pridržavati važećih propisa o prostornim standardima, urbanističko-tehničkim uvjetima i normativima za sprječavanje urbanističko-arhitektonskih barijera u urbanističkom planiranju i projektiranju (važeći Pravilnik o osiguranju pristupačnosti građevina osobama s invaliditetom i smanjene pokretljivosti) Navedene staze ne mogu imati veći uzdužni nagib od 8% i ne veći poprečni nagib od 1%.</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Glavne staze koje povezuju grobna polja s odmorištima i proširenjima te trgovima kao i sama odmorišta i trgovi izvest će se na osnovu, arhitektonskog rješenja popločenja (koristiti elemente malog formata).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Telekomunikacije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18.</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Podzemne telefonske kabele treba spojiti na DTK mrežu, tj. korisnički i spojni vod te KTV kabelsku mrežu u prometnici sa jugozapadne strane, prema važećem Zakonu o telekomunikacijama.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Unutar obuhvata Plana u sklopu centralnog objekta moguća je izvedba javne telefonske govornice.</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Vodoopskrba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19.</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Vodni sustav groblja Lupoglav spaja se na javnu vodovodnu mrežu naselja Lupoglav.</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Interna mreža groblja povezuje se postrojenjem do izljevnih mjesta koje koriste posjetioci groblja.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Protupožarna zaštita groblja (centralni objekt) riješiti projektom  </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prema važećem Pravilniku o hidrantskoj mreži za gašenje požara.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Unutar grobnih polja treba osigurati izljevno mjesto (voda - slavina) koje pokriva radijus od najviše 100 m.</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Odvodnja i pročišćavanje otpadnih voda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20.</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Sustav odvodnje kanalizacije unutar područja proširenja groblja rješava se kao razdjelni (separatni).</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Odvod otpadnih voda iz centralnog objekta izvesti će se prema sustavu javne kanalizacije u cesti jugozapadno od groblja.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21.</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Oborinske vode prikupljati će se preko cestovnih slivnika u zasebne cjevovode smještene unutar staza te se gravitacijski odvesti do prvog mogućeg ispusta u okolni teren.</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lastRenderedPageBreak/>
        <w:t>Radi smanjenja opterećenja sustava oborinske odvodnje a time i manjih dimenzija iste, predvidjeti da se dio oborinske vode s „čistih" površina upuštaju direktno u obodni teren koliko je to moguće prema geomehaničkim ispitivanjima tla.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Vode iz sustava oborinske odvodnje prije upuštanja u teren moraju proći odgovarajući predtretman na separatorima ulja i masti. Na svim lomovima trase kanalizacijskih vodova obavezno izvesti reviziona okna kao i kod svih mjesta priključenja.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Opskrba plinom</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22.</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Internu mrežu za potrebe centralnog objekta smještenog unutar zone obuhvata izvesti cjevovodom 0 90 mm. Priključak objekta izvodi se preko okna u kojemu su smješteni regulacijski i zaporni ventili.</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Elektroopskrba i javna rasvjeta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23.</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Područje DPU-a za groblje Lupoglav povezuje se na postojeći energetski sustav, na najbližu trafostanicu 10(20)/04 kV Sva elektroenergetska infrastruktura realizira se podzemno - kabelski odvojak postavljen uz rub jugozapadne pristupne ulice.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24.</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Jedan izlaz iz transformatorske stanice treba osigurati za mrežu javne rasvjete koja se izvodi sa kabelima PP 41-A dimenzija 4x25 mm.</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Mjerenje potrošnje električne energije vanjske rasvjete bit će u transformatorskoj stanici dok će se mjerenje potrošnje električne energije za centralni objekt izvesti direktnim brojilima u okviru glavnog razvodnog ormara.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25.</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Javna rasvjeta izvodi se sa rasvjetnim armaturama koje moraju biti kvalitetne i estetski dizajnirane, a izvori svjetla suvremeni. Paljenje rasvjete predviđa se automatski putem luxomata a režim rada odredit će nadležno komunalno poduzeće.</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 rasvjetu pristupne  </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ulice  </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i parkirališta primjenjuju se stupovi visine 4 m, a kao izvor svjetlosti primijeniti će se žarulja VTNa 1x250 W. Svjetiljke bi trebale biti djelomično zasjenjene sa refraktorima.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 rasvjetu pješačkih staza i trgova unutar zone obuhvata primijenit će se stupovi rasvjete prema odabiru arhitekta u suradnji s nadležnim komunalnim poduzećem.</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26.</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Zaštita od napona dodira na instalaciji javne rasvjete rješava se sustavom nulovanja. Sve metalne dijelove instalacije, koji u normalnom pogonu nisu pod naponom, treba povezati sa zaštitnim vodičem, a nul vodič i zaštitni vodič trebaju se pouzdano povezati u transformatorsku stanicu.</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U okviru mreže javne rasvjete treba osigurati zaštitu od atmosferskog pražnjenja kroz uzemljenje stupa na uzemljivač koji se polaže uz kabele u rovu od TS do objekata i stupova vanjske rasvjete.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4.</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Uvjeti uređenja i opreme javnih zelenih površina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27.</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Javne zelene površine obuhvaćene su u tri kategorije:</w:t>
      </w:r>
    </w:p>
    <w:tbl>
      <w:tblPr>
        <w:tblW w:w="8010" w:type="dxa"/>
        <w:tblInd w:w="40" w:type="dxa"/>
        <w:tblCellMar>
          <w:left w:w="0" w:type="dxa"/>
          <w:right w:w="0" w:type="dxa"/>
        </w:tblCellMar>
        <w:tblLook w:val="04A0"/>
      </w:tblPr>
      <w:tblGrid>
        <w:gridCol w:w="252"/>
        <w:gridCol w:w="7758"/>
      </w:tblGrid>
      <w:tr w:rsidR="004E1885" w:rsidRPr="004E1885" w:rsidTr="004E1885">
        <w:trPr>
          <w:trHeight w:val="206"/>
        </w:trPr>
        <w:tc>
          <w:tcPr>
            <w:tcW w:w="165"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lastRenderedPageBreak/>
              <w:t>1.</w:t>
            </w:r>
          </w:p>
        </w:tc>
        <w:tc>
          <w:tcPr>
            <w:tcW w:w="7605"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obodno zaštitno zelenilo unutar ograde cca 5 m</w:t>
            </w:r>
          </w:p>
        </w:tc>
      </w:tr>
      <w:tr w:rsidR="004E1885" w:rsidRPr="004E1885" w:rsidTr="004E1885">
        <w:trPr>
          <w:trHeight w:val="202"/>
        </w:trPr>
        <w:tc>
          <w:tcPr>
            <w:tcW w:w="165" w:type="dxa"/>
            <w:tcMar>
              <w:top w:w="0" w:type="dxa"/>
              <w:left w:w="40" w:type="dxa"/>
              <w:bottom w:w="0" w:type="dxa"/>
              <w:right w:w="40" w:type="dxa"/>
            </w:tcMar>
            <w:hideMark/>
          </w:tcPr>
          <w:p w:rsidR="004E1885" w:rsidRPr="004E1885" w:rsidRDefault="004E1885" w:rsidP="004E1885">
            <w:pPr>
              <w:spacing w:after="0" w:line="202" w:lineRule="atLeast"/>
              <w:rPr>
                <w:rFonts w:ascii="Times New Roman" w:eastAsia="Times New Roman" w:hAnsi="Times New Roman" w:cs="Times New Roman"/>
                <w:sz w:val="24"/>
                <w:szCs w:val="24"/>
              </w:rPr>
            </w:pPr>
            <w:r w:rsidRPr="004E1885">
              <w:rPr>
                <w:rFonts w:ascii="Arial" w:eastAsia="Times New Roman" w:hAnsi="Arial" w:cs="Arial"/>
                <w:sz w:val="20"/>
                <w:szCs w:val="20"/>
              </w:rPr>
              <w:t>2.</w:t>
            </w:r>
          </w:p>
        </w:tc>
        <w:tc>
          <w:tcPr>
            <w:tcW w:w="7605" w:type="dxa"/>
            <w:tcMar>
              <w:top w:w="0" w:type="dxa"/>
              <w:left w:w="40" w:type="dxa"/>
              <w:bottom w:w="0" w:type="dxa"/>
              <w:right w:w="40" w:type="dxa"/>
            </w:tcMar>
            <w:hideMark/>
          </w:tcPr>
          <w:p w:rsidR="004E1885" w:rsidRPr="004E1885" w:rsidRDefault="004E1885" w:rsidP="004E1885">
            <w:pPr>
              <w:spacing w:after="0" w:line="202" w:lineRule="atLeast"/>
              <w:rPr>
                <w:rFonts w:ascii="Times New Roman" w:eastAsia="Times New Roman" w:hAnsi="Times New Roman" w:cs="Times New Roman"/>
                <w:sz w:val="24"/>
                <w:szCs w:val="24"/>
              </w:rPr>
            </w:pPr>
            <w:r w:rsidRPr="004E1885">
              <w:rPr>
                <w:rFonts w:ascii="Arial" w:eastAsia="Times New Roman" w:hAnsi="Arial" w:cs="Arial"/>
                <w:sz w:val="20"/>
                <w:szCs w:val="20"/>
              </w:rPr>
              <w:t>parkovne površine u smjeru glavnih komunikacija između grobnih polja</w:t>
            </w:r>
          </w:p>
        </w:tc>
      </w:tr>
      <w:tr w:rsidR="004E1885" w:rsidRPr="004E1885" w:rsidTr="004E1885">
        <w:trPr>
          <w:trHeight w:val="206"/>
        </w:trPr>
        <w:tc>
          <w:tcPr>
            <w:tcW w:w="165"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3.</w:t>
            </w:r>
          </w:p>
        </w:tc>
        <w:tc>
          <w:tcPr>
            <w:tcW w:w="7605" w:type="dxa"/>
            <w:tcMar>
              <w:top w:w="0" w:type="dxa"/>
              <w:left w:w="40" w:type="dxa"/>
              <w:bottom w:w="0" w:type="dxa"/>
              <w:right w:w="40" w:type="dxa"/>
            </w:tcMar>
            <w:hideMark/>
          </w:tcPr>
          <w:p w:rsidR="004E1885" w:rsidRPr="004E1885" w:rsidRDefault="004E1885" w:rsidP="004E1885">
            <w:pPr>
              <w:spacing w:after="0" w:line="206" w:lineRule="atLeast"/>
              <w:rPr>
                <w:rFonts w:ascii="Times New Roman" w:eastAsia="Times New Roman" w:hAnsi="Times New Roman" w:cs="Times New Roman"/>
                <w:sz w:val="24"/>
                <w:szCs w:val="24"/>
              </w:rPr>
            </w:pPr>
            <w:r w:rsidRPr="004E1885">
              <w:rPr>
                <w:rFonts w:ascii="Arial" w:eastAsia="Times New Roman" w:hAnsi="Arial" w:cs="Arial"/>
                <w:sz w:val="20"/>
                <w:szCs w:val="20"/>
              </w:rPr>
              <w:t>zelenilo unutar grobnih polja</w:t>
            </w:r>
          </w:p>
        </w:tc>
      </w:tr>
    </w:tbl>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28.</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Zelene površine pod 1. i 2. iz prethodnog članka uređuju se kao travnjaci s primjenom visoke i niske vegetacije formirajući poteze zelenila u formi drvoreda.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Prostor zelenila </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unutar grobnih polja u najvećem mjerilu izvodi se kao travnjak s nižom vegetacijom. To posebno vrijedi kod razgraničenja grobnih redova.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 sadnju visokog i niskog raslinja potrebno je izraditi projekt sadnje odnosno hortikulturno uređenje.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5.</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Mjere provedbe plana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29.</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Provedba ovog plana treba obuhvatiti sve aktivnosti koje omogućavaju njegovu provedbu i implementaciju na način da se postignu uvjetovane kvalitete funkcionalne organizacije i oblikovanja prostora, te tražena razina zaštite okoliša.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Prvi korak provedbe plana predstavlja izrada parcelacionog elaborata temeljem plana parcelacije prikazanog na grafičkom prilogu br 4. UVJETI GRADNJE u mjerilu 1:500.</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Samo temeljem parcelacionog elaborata kojim su prethodno utvrđeni prostori građenja i koridori javnih komunikacijskih površina moguće je započeti s realizacijom DPU-a za groblje Lupoglav.</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30.</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Drugi korak predstavlja izrada projekata prometne i komunalne infrastrukture kako bi se utvrdili točni parametri njezine izgradnje vezano uz situacijski i visinski položaj u prostoru, te osigurao planom uvjetovani minimum komunalnog opremanja ovog područja.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Nije moguće stavljanje pojedine faze gradnje u upotrebu, ako nije osiguran pristup s    </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uređene javnoprometne površinu, te priključak na vodoopskrbni sustav, elektroopskrbu i sustav za odvodnju oborinskih i otpadnih voda.</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6.</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Mjere sprječavanja nepovoljnog utjecaja na okoliš</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31.</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Na prostoru obuhvata groblja Lupoglav postupanje s otpadom treba biti u skladu s odredbama važećeg Zakona o otpadu. Prostori za odlaganje otpada unutar opremanja groblja moraju biti postavljeni na za to odgovarajuće dostupno i zaštićeno mjesto.</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Zbrinjavanje komunalnog otpada treba organizirati odvozom koji će se vršiti prema komunalnom redu nadležnog komunalnog poduzeća.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Građevni otpad koji će nastati kod gradnje na prostoru obuhvata plana zbrinjavat će se u skladu s odredbama Zakona o otpadu, odvozom na deponij.</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32.</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Zaštitu podzemnih voda od zagađenja vršiti na slijedeći način:</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izraditi sustave odvodnje otpadnih voda od vodonepropusnih elemenata,</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lastRenderedPageBreak/>
        <w:t>oborinske vode s prometnih površina i parkirališta odvoditi putem slivnika u upojni bunar preko separatora ulja i masti.</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33.</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Prostor obuhvata plana prema seizmičkim kartama nalazi se u zoni</w:t>
      </w:r>
      <w:r w:rsidRPr="004E1885">
        <w:rPr>
          <w:rFonts w:ascii="Arial" w:eastAsia="Times New Roman" w:hAnsi="Arial" w:cs="Arial"/>
          <w:color w:val="000000"/>
          <w:sz w:val="20"/>
        </w:rPr>
        <w:t> </w:t>
      </w:r>
      <w:r w:rsidRPr="004E1885">
        <w:rPr>
          <w:rFonts w:ascii="Arial" w:eastAsia="Times New Roman" w:hAnsi="Arial" w:cs="Arial"/>
          <w:color w:val="000000"/>
          <w:sz w:val="20"/>
          <w:szCs w:val="20"/>
          <w:lang w:val="en-US"/>
        </w:rPr>
        <w:t>VII*</w:t>
      </w:r>
      <w:r w:rsidRPr="004E1885">
        <w:rPr>
          <w:rFonts w:ascii="Arial" w:eastAsia="Times New Roman" w:hAnsi="Arial" w:cs="Arial"/>
          <w:color w:val="000000"/>
          <w:sz w:val="20"/>
          <w:lang w:val="en-US"/>
        </w:rPr>
        <w:t> </w:t>
      </w:r>
      <w:r w:rsidRPr="004E1885">
        <w:rPr>
          <w:rFonts w:ascii="Arial" w:eastAsia="Times New Roman" w:hAnsi="Arial" w:cs="Arial"/>
          <w:color w:val="000000"/>
          <w:sz w:val="20"/>
          <w:szCs w:val="20"/>
        </w:rPr>
        <w:t>seizmičnosti (po MCS). Izgradnja građevina treba se provoditi u skladu s zakonskom regulativom za protupotresnu izgradnju.</w:t>
      </w:r>
    </w:p>
    <w:p w:rsidR="004E1885" w:rsidRPr="004E1885" w:rsidRDefault="004E1885" w:rsidP="004E1885">
      <w:pPr>
        <w:spacing w:before="360" w:after="240" w:line="240" w:lineRule="atLeast"/>
        <w:ind w:left="1050" w:right="1050"/>
        <w:rPr>
          <w:rFonts w:ascii="Arial" w:eastAsia="Times New Roman" w:hAnsi="Arial" w:cs="Arial"/>
          <w:b/>
          <w:bCs/>
          <w:color w:val="000000"/>
          <w:sz w:val="20"/>
          <w:szCs w:val="20"/>
        </w:rPr>
      </w:pPr>
      <w:r w:rsidRPr="004E1885">
        <w:rPr>
          <w:rFonts w:ascii="Arial" w:eastAsia="Times New Roman" w:hAnsi="Arial" w:cs="Arial"/>
          <w:b/>
          <w:bCs/>
          <w:color w:val="000000"/>
          <w:sz w:val="24"/>
          <w:szCs w:val="24"/>
        </w:rPr>
        <w:t>III. ZAVRŠNE ODREDBE</w:t>
      </w:r>
    </w:p>
    <w:p w:rsidR="004E1885" w:rsidRPr="004E1885" w:rsidRDefault="004E1885" w:rsidP="004E1885">
      <w:pPr>
        <w:spacing w:before="240" w:after="120" w:line="240" w:lineRule="atLeast"/>
        <w:ind w:left="1050" w:right="1050"/>
        <w:jc w:val="center"/>
        <w:rPr>
          <w:rFonts w:ascii="Arial" w:eastAsia="Times New Roman" w:hAnsi="Arial" w:cs="Arial"/>
          <w:b/>
          <w:bCs/>
          <w:color w:val="000000"/>
          <w:sz w:val="20"/>
          <w:szCs w:val="20"/>
        </w:rPr>
      </w:pPr>
      <w:r w:rsidRPr="004E1885">
        <w:rPr>
          <w:rFonts w:ascii="Arial" w:eastAsia="Times New Roman" w:hAnsi="Arial" w:cs="Arial"/>
          <w:b/>
          <w:bCs/>
          <w:color w:val="000000"/>
          <w:sz w:val="20"/>
          <w:szCs w:val="20"/>
        </w:rPr>
        <w:t>Članak 34.</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Ova Odluka stupa na snagu osmog dana od objave u Službenom glasniku Općine Brckovljani.</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4E1885" w:rsidRPr="004E1885" w:rsidTr="004E1885">
        <w:trPr>
          <w:tblCellSpacing w:w="0" w:type="dxa"/>
        </w:trPr>
        <w:tc>
          <w:tcPr>
            <w:tcW w:w="3500" w:type="pct"/>
            <w:vAlign w:val="center"/>
            <w:hideMark/>
          </w:tcPr>
          <w:p w:rsidR="004E1885" w:rsidRPr="004E1885" w:rsidRDefault="004E1885" w:rsidP="004E1885">
            <w:pPr>
              <w:spacing w:after="0" w:line="240" w:lineRule="auto"/>
              <w:rPr>
                <w:rFonts w:ascii="Times New Roman" w:eastAsia="Times New Roman" w:hAnsi="Times New Roman" w:cs="Times New Roman"/>
                <w:sz w:val="24"/>
                <w:szCs w:val="24"/>
              </w:rPr>
            </w:pPr>
          </w:p>
        </w:tc>
        <w:tc>
          <w:tcPr>
            <w:tcW w:w="3750" w:type="dxa"/>
            <w:vAlign w:val="center"/>
            <w:hideMark/>
          </w:tcPr>
          <w:p w:rsidR="004E1885" w:rsidRPr="004E1885" w:rsidRDefault="004E1885" w:rsidP="004E1885">
            <w:pPr>
              <w:spacing w:before="100" w:beforeAutospacing="1" w:after="100" w:afterAutospacing="1" w:line="240" w:lineRule="auto"/>
              <w:jc w:val="center"/>
              <w:rPr>
                <w:rFonts w:ascii="Times New Roman" w:eastAsia="Times New Roman" w:hAnsi="Times New Roman" w:cs="Times New Roman"/>
                <w:sz w:val="24"/>
                <w:szCs w:val="24"/>
              </w:rPr>
            </w:pPr>
            <w:r w:rsidRPr="004E1885">
              <w:rPr>
                <w:rFonts w:ascii="Arial" w:eastAsia="Times New Roman" w:hAnsi="Arial" w:cs="Arial"/>
                <w:sz w:val="20"/>
                <w:szCs w:val="20"/>
              </w:rPr>
              <w:t>PREDSJEDNIK</w:t>
            </w:r>
            <w:r w:rsidRPr="004E1885">
              <w:rPr>
                <w:rFonts w:ascii="Arial" w:eastAsia="Times New Roman" w:hAnsi="Arial" w:cs="Arial"/>
                <w:sz w:val="20"/>
                <w:szCs w:val="20"/>
              </w:rPr>
              <w:br/>
              <w:t>OPĆINSKOG VIJEĆA</w:t>
            </w:r>
            <w:r w:rsidRPr="004E1885">
              <w:rPr>
                <w:rFonts w:ascii="Arial" w:eastAsia="Times New Roman" w:hAnsi="Arial" w:cs="Arial"/>
                <w:sz w:val="20"/>
                <w:szCs w:val="20"/>
              </w:rPr>
              <w:br/>
              <w:t>OPĆINE BRCKOVLJANI</w:t>
            </w:r>
            <w:r w:rsidRPr="004E1885">
              <w:rPr>
                <w:rFonts w:ascii="Arial" w:eastAsia="Times New Roman" w:hAnsi="Arial" w:cs="Arial"/>
                <w:sz w:val="20"/>
                <w:szCs w:val="20"/>
              </w:rPr>
              <w:br/>
            </w:r>
            <w:r w:rsidRPr="004E1885">
              <w:rPr>
                <w:rFonts w:ascii="Arial" w:eastAsia="Times New Roman" w:hAnsi="Arial" w:cs="Arial"/>
                <w:b/>
                <w:bCs/>
                <w:sz w:val="20"/>
                <w:szCs w:val="20"/>
              </w:rPr>
              <w:t>Milan Kralj</w:t>
            </w:r>
          </w:p>
        </w:tc>
      </w:tr>
    </w:tbl>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 </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Klasa:</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021-05/09-01/24 </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Ur.broj:</w:t>
      </w:r>
      <w:r w:rsidRPr="004E1885">
        <w:rPr>
          <w:rFonts w:ascii="Arial" w:eastAsia="Times New Roman" w:hAnsi="Arial" w:cs="Arial"/>
          <w:color w:val="000000"/>
          <w:sz w:val="20"/>
        </w:rPr>
        <w:t> </w:t>
      </w:r>
      <w:r w:rsidRPr="004E1885">
        <w:rPr>
          <w:rFonts w:ascii="Arial" w:eastAsia="Times New Roman" w:hAnsi="Arial" w:cs="Arial"/>
          <w:color w:val="000000"/>
          <w:sz w:val="20"/>
          <w:szCs w:val="20"/>
        </w:rPr>
        <w:t>238/04-09-6 </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Brckovljani, 07.04.2009</w:t>
      </w:r>
    </w:p>
    <w:p w:rsidR="004E1885" w:rsidRPr="004E1885" w:rsidRDefault="004E1885" w:rsidP="004E1885">
      <w:pPr>
        <w:spacing w:before="15" w:after="15" w:line="240" w:lineRule="auto"/>
        <w:ind w:left="1050" w:right="1050"/>
        <w:jc w:val="both"/>
        <w:rPr>
          <w:rFonts w:ascii="Arial" w:eastAsia="Times New Roman" w:hAnsi="Arial" w:cs="Arial"/>
          <w:color w:val="000000"/>
          <w:sz w:val="20"/>
          <w:szCs w:val="20"/>
        </w:rPr>
      </w:pPr>
      <w:r w:rsidRPr="004E1885">
        <w:rPr>
          <w:rFonts w:ascii="Arial" w:eastAsia="Times New Roman" w:hAnsi="Arial" w:cs="Arial"/>
          <w:color w:val="000000"/>
          <w:sz w:val="20"/>
          <w:szCs w:val="20"/>
        </w:rPr>
        <w:t>               </w:t>
      </w:r>
    </w:p>
    <w:p w:rsidR="003E1672" w:rsidRDefault="003E1672"/>
    <w:sectPr w:rsidR="003E16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4E1885"/>
    <w:rsid w:val="003E1672"/>
    <w:rsid w:val="004E188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4E18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4E18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4E18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4E1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1885"/>
  </w:style>
  <w:style w:type="paragraph" w:styleId="NormalWeb">
    <w:name w:val="Normal (Web)"/>
    <w:basedOn w:val="Normal"/>
    <w:uiPriority w:val="99"/>
    <w:unhideWhenUsed/>
    <w:rsid w:val="004E1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96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12636</Characters>
  <Application>Microsoft Office Word</Application>
  <DocSecurity>0</DocSecurity>
  <Lines>105</Lines>
  <Paragraphs>29</Paragraphs>
  <ScaleCrop>false</ScaleCrop>
  <Company/>
  <LinksUpToDate>false</LinksUpToDate>
  <CharactersWithSpaces>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2016-07-21T09:42:00Z</dcterms:created>
  <dcterms:modified xsi:type="dcterms:W3CDTF">2016-07-21T09:42:00Z</dcterms:modified>
</cp:coreProperties>
</file>